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2BF4" w14:textId="77777777" w:rsidR="00EF7231" w:rsidRDefault="00A71C08" w:rsidP="00CB3158">
      <w:pPr>
        <w:ind w:left="-567"/>
        <w:jc w:val="center"/>
        <w:rPr>
          <w:noProof/>
          <w:szCs w:val="22"/>
          <w:lang w:eastAsia="en-GB"/>
        </w:rPr>
      </w:pPr>
      <w:r>
        <w:rPr>
          <w:noProof/>
        </w:rPr>
        <w:drawing>
          <wp:inline distT="0" distB="0" distL="0" distR="0" wp14:anchorId="00466A33" wp14:editId="2864D3B6">
            <wp:extent cx="1827423" cy="6908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_logo_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82" cy="71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3649" w14:textId="77777777" w:rsidR="00724D76" w:rsidRPr="00447FD1" w:rsidRDefault="00724D76" w:rsidP="00724D76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/>
          <w:bCs/>
          <w:color w:val="000000"/>
          <w:lang w:val="en-AU"/>
        </w:rPr>
      </w:pPr>
      <w:r w:rsidRPr="00447FD1">
        <w:rPr>
          <w:rFonts w:asciiTheme="minorHAnsi" w:hAnsiTheme="minorHAnsi" w:cstheme="minorHAnsi"/>
          <w:b/>
          <w:bCs/>
          <w:color w:val="000000"/>
          <w:lang w:val="en-AU"/>
        </w:rPr>
        <w:t>FURTHER INFORMATION</w:t>
      </w:r>
    </w:p>
    <w:p w14:paraId="2D2D7818" w14:textId="413FD095" w:rsidR="00724D76" w:rsidRPr="00447FD1" w:rsidRDefault="00724D76" w:rsidP="00724D76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/>
          <w:bCs/>
          <w:color w:val="000000"/>
          <w:lang w:val="en-AU"/>
        </w:rPr>
      </w:pPr>
      <w:r w:rsidRPr="00447FD1">
        <w:rPr>
          <w:rFonts w:asciiTheme="minorHAnsi" w:hAnsiTheme="minorHAnsi" w:cstheme="minorHAnsi"/>
          <w:b/>
          <w:bCs/>
          <w:color w:val="000000"/>
          <w:lang w:val="en-AU"/>
        </w:rPr>
        <w:t xml:space="preserve">MATHEMATICS TEACHER </w:t>
      </w:r>
    </w:p>
    <w:p w14:paraId="4831AE02" w14:textId="623667BC" w:rsidR="00C3336A" w:rsidRPr="00447FD1" w:rsidRDefault="00886EBD" w:rsidP="00724D76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b/>
          <w:bCs/>
          <w:color w:val="000000"/>
          <w:lang w:val="en-AU"/>
        </w:rPr>
      </w:pPr>
      <w:r>
        <w:rPr>
          <w:rFonts w:asciiTheme="minorHAnsi" w:hAnsiTheme="minorHAnsi" w:cstheme="minorHAnsi"/>
          <w:b/>
          <w:bCs/>
          <w:color w:val="000000"/>
          <w:lang w:val="en-AU"/>
        </w:rPr>
        <w:t xml:space="preserve">Full Time or Substantial </w:t>
      </w:r>
      <w:r w:rsidR="0007799E" w:rsidRPr="00447FD1">
        <w:rPr>
          <w:rFonts w:asciiTheme="minorHAnsi" w:hAnsiTheme="minorHAnsi" w:cstheme="minorHAnsi"/>
          <w:b/>
          <w:bCs/>
          <w:color w:val="000000"/>
          <w:lang w:val="en-AU"/>
        </w:rPr>
        <w:t>P</w:t>
      </w:r>
      <w:r w:rsidR="00447FD1">
        <w:rPr>
          <w:rFonts w:asciiTheme="minorHAnsi" w:hAnsiTheme="minorHAnsi" w:cstheme="minorHAnsi"/>
          <w:b/>
          <w:bCs/>
          <w:color w:val="000000"/>
          <w:lang w:val="en-AU"/>
        </w:rPr>
        <w:t>art time</w:t>
      </w:r>
      <w:r w:rsidR="00C3336A" w:rsidRPr="00447FD1">
        <w:rPr>
          <w:rFonts w:asciiTheme="minorHAnsi" w:hAnsiTheme="minorHAnsi" w:cstheme="minorHAnsi"/>
          <w:b/>
          <w:bCs/>
          <w:color w:val="000000"/>
          <w:lang w:val="en-AU"/>
        </w:rPr>
        <w:t xml:space="preserve"> - P</w:t>
      </w:r>
      <w:r w:rsidR="00447FD1">
        <w:rPr>
          <w:rFonts w:asciiTheme="minorHAnsi" w:hAnsiTheme="minorHAnsi" w:cstheme="minorHAnsi"/>
          <w:b/>
          <w:bCs/>
          <w:color w:val="000000"/>
          <w:lang w:val="en-AU"/>
        </w:rPr>
        <w:t>ermanent</w:t>
      </w:r>
    </w:p>
    <w:p w14:paraId="446507EF" w14:textId="102B70C7" w:rsidR="00724D76" w:rsidRPr="006D460C" w:rsidRDefault="00724D76" w:rsidP="00724D76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Theme="minorHAnsi" w:hAnsiTheme="minorHAnsi" w:cstheme="minorHAnsi"/>
          <w:strike/>
          <w:color w:val="000000"/>
          <w:sz w:val="22"/>
          <w:szCs w:val="22"/>
          <w:lang w:val="en-AU"/>
        </w:rPr>
      </w:pPr>
    </w:p>
    <w:tbl>
      <w:tblPr>
        <w:tblStyle w:val="TableGrid"/>
        <w:tblW w:w="105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028"/>
        <w:gridCol w:w="7868"/>
        <w:gridCol w:w="243"/>
      </w:tblGrid>
      <w:tr w:rsidR="00724D76" w:rsidRPr="00547198" w14:paraId="3A05EFFB" w14:textId="77777777" w:rsidTr="65A091C2">
        <w:trPr>
          <w:gridAfter w:val="1"/>
          <w:wAfter w:w="243" w:type="dxa"/>
        </w:trPr>
        <w:tc>
          <w:tcPr>
            <w:tcW w:w="10355" w:type="dxa"/>
            <w:gridSpan w:val="3"/>
          </w:tcPr>
          <w:p w14:paraId="72EE4625" w14:textId="27498BA5" w:rsidR="006D460C" w:rsidRPr="00547198" w:rsidRDefault="006D460C" w:rsidP="008A3309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724D76" w:rsidRPr="00547198" w14:paraId="6418FB61" w14:textId="77777777" w:rsidTr="65A091C2">
        <w:trPr>
          <w:gridAfter w:val="1"/>
          <w:wAfter w:w="243" w:type="dxa"/>
        </w:trPr>
        <w:tc>
          <w:tcPr>
            <w:tcW w:w="10355" w:type="dxa"/>
            <w:gridSpan w:val="3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724D76" w:rsidRPr="00547198" w14:paraId="3779C445" w14:textId="77777777" w:rsidTr="65A091C2">
              <w:tc>
                <w:tcPr>
                  <w:tcW w:w="9923" w:type="dxa"/>
                  <w:hideMark/>
                </w:tcPr>
                <w:p w14:paraId="10D43173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724D76" w:rsidRPr="00547198" w14:paraId="15529B36" w14:textId="77777777" w:rsidTr="65A091C2">
              <w:tc>
                <w:tcPr>
                  <w:tcW w:w="9923" w:type="dxa"/>
                </w:tcPr>
                <w:p w14:paraId="556B6D72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Students:</w:t>
                  </w:r>
                </w:p>
              </w:tc>
            </w:tr>
            <w:tr w:rsidR="00724D76" w:rsidRPr="00547198" w14:paraId="6B4F2B3F" w14:textId="77777777" w:rsidTr="65A091C2">
              <w:tc>
                <w:tcPr>
                  <w:tcW w:w="9923" w:type="dxa"/>
                  <w:hideMark/>
                </w:tcPr>
                <w:p w14:paraId="1D193691" w14:textId="300B34FC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Around 400 students currently take A </w:t>
                  </w:r>
                  <w:proofErr w:type="gram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Level courses</w:t>
                  </w:r>
                  <w:proofErr w:type="gram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in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, including around 50 taking A </w:t>
                  </w:r>
                  <w:r w:rsidR="00447FD1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L</w:t>
                  </w: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evel Further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, and around 50 students taking Level 2 courses. We also teach AS Further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and Core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as extension qualifications. </w:t>
                  </w:r>
                </w:p>
              </w:tc>
            </w:tr>
            <w:tr w:rsidR="00724D76" w:rsidRPr="00547198" w14:paraId="0B1C8B33" w14:textId="77777777" w:rsidTr="65A091C2">
              <w:tc>
                <w:tcPr>
                  <w:tcW w:w="9923" w:type="dxa"/>
                </w:tcPr>
                <w:p w14:paraId="573AF02B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724D76" w:rsidRPr="00547198" w14:paraId="7724778F" w14:textId="77777777" w:rsidTr="65A091C2">
              <w:tc>
                <w:tcPr>
                  <w:tcW w:w="9923" w:type="dxa"/>
                  <w:hideMark/>
                </w:tcPr>
                <w:p w14:paraId="6114D461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Staff</w:t>
                  </w: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  <w:t xml:space="preserve">: </w:t>
                  </w:r>
                </w:p>
              </w:tc>
            </w:tr>
            <w:tr w:rsidR="00C3336A" w:rsidRPr="00C3336A" w14:paraId="51F23FAC" w14:textId="77777777" w:rsidTr="65A091C2">
              <w:tc>
                <w:tcPr>
                  <w:tcW w:w="9923" w:type="dxa"/>
                  <w:hideMark/>
                </w:tcPr>
                <w:p w14:paraId="4D0B9F7C" w14:textId="548DA5C3" w:rsidR="00724D76" w:rsidRPr="00C3336A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The successful applicant will be joining a well-established team of 9 specialist mathematics teachers with a wealth of experience. The team is led by a Head of Department, supported by a Deputy who oversees Further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.  Two other members of staff have responsibilities for courses within the department, coordinating the second year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and Level 2 courses respectively. </w:t>
                  </w:r>
                </w:p>
              </w:tc>
            </w:tr>
            <w:tr w:rsidR="00724D76" w:rsidRPr="00547198" w14:paraId="65CB6AFC" w14:textId="77777777" w:rsidTr="65A091C2">
              <w:tc>
                <w:tcPr>
                  <w:tcW w:w="9923" w:type="dxa"/>
                </w:tcPr>
                <w:p w14:paraId="55818B57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724D76" w:rsidRPr="00547198" w14:paraId="329C29EB" w14:textId="77777777" w:rsidTr="65A091C2">
              <w:tc>
                <w:tcPr>
                  <w:tcW w:w="9923" w:type="dxa"/>
                  <w:hideMark/>
                </w:tcPr>
                <w:p w14:paraId="47D43258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Courses &amp; Exam Board:</w:t>
                  </w:r>
                </w:p>
              </w:tc>
            </w:tr>
            <w:tr w:rsidR="00724D76" w:rsidRPr="00547198" w14:paraId="3ADB73D6" w14:textId="77777777" w:rsidTr="65A091C2">
              <w:tc>
                <w:tcPr>
                  <w:tcW w:w="9923" w:type="dxa"/>
                  <w:hideMark/>
                </w:tcPr>
                <w:p w14:paraId="2C00EEF2" w14:textId="3DD87F56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The work of the department lies predominately in A </w:t>
                  </w:r>
                  <w:bookmarkStart w:id="0" w:name="_Int_DOPwXjKA"/>
                  <w:proofErr w:type="gram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Level courses</w:t>
                  </w:r>
                  <w:bookmarkEnd w:id="0"/>
                  <w:proofErr w:type="gram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which follow the Pearson Edexcel specifications. We also teach GCSE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and have broadened our Level 2 provision to include Functional Skills. Examination results are strong. </w:t>
                  </w:r>
                </w:p>
              </w:tc>
            </w:tr>
            <w:tr w:rsidR="00724D76" w:rsidRPr="00547198" w14:paraId="2923D6FD" w14:textId="77777777" w:rsidTr="65A091C2">
              <w:tc>
                <w:tcPr>
                  <w:tcW w:w="9923" w:type="dxa"/>
                </w:tcPr>
                <w:p w14:paraId="0FF79BE2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724D76" w:rsidRPr="00547198" w14:paraId="6F043312" w14:textId="77777777" w:rsidTr="65A091C2">
              <w:tc>
                <w:tcPr>
                  <w:tcW w:w="9923" w:type="dxa"/>
                  <w:hideMark/>
                </w:tcPr>
                <w:p w14:paraId="5EFB6FFD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Department/Facilities:</w:t>
                  </w:r>
                </w:p>
              </w:tc>
            </w:tr>
            <w:tr w:rsidR="00724D76" w:rsidRPr="00547198" w14:paraId="695022ED" w14:textId="77777777" w:rsidTr="65A091C2">
              <w:tc>
                <w:tcPr>
                  <w:tcW w:w="9923" w:type="dxa"/>
                  <w:hideMark/>
                </w:tcPr>
                <w:p w14:paraId="0F28248A" w14:textId="3AD7B0AE" w:rsidR="00724D76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The Department has a highly collaborative approach, and continued excellence in teaching and learning is at its core.  A staff workroom located centrally among the suite of seven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classrooms enables the department to discuss their work and exchange ideas readily. Department facilities include data projectors,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visualisers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and surface laptops in all rooms. Staff share teaching resources via Teams and subscribe to Integral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, Exam Pro and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ActiveLearn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, where the relevant e-textbooks are available. All teachers contribute to the central support structure of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Clinics which take place daily at lunchtimes.</w:t>
                  </w:r>
                </w:p>
                <w:p w14:paraId="120E844C" w14:textId="77777777" w:rsidR="008457CA" w:rsidRPr="00547198" w:rsidRDefault="008457CA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</w:p>
                <w:p w14:paraId="51F619FF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4258CF64" w14:textId="77777777" w:rsidR="00724D76" w:rsidRPr="00547198" w:rsidRDefault="00724D76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/>
              </w:rPr>
            </w:pPr>
          </w:p>
        </w:tc>
      </w:tr>
      <w:tr w:rsidR="00724D76" w:rsidRPr="00547198" w14:paraId="1504FB92" w14:textId="77777777" w:rsidTr="65A091C2">
        <w:trPr>
          <w:gridAfter w:val="1"/>
          <w:wAfter w:w="243" w:type="dxa"/>
        </w:trPr>
        <w:tc>
          <w:tcPr>
            <w:tcW w:w="10355" w:type="dxa"/>
            <w:gridSpan w:val="3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724D76" w:rsidRPr="00547198" w14:paraId="54BA62C1" w14:textId="77777777" w:rsidTr="65A091C2">
              <w:tc>
                <w:tcPr>
                  <w:tcW w:w="9923" w:type="dxa"/>
                </w:tcPr>
                <w:p w14:paraId="2D70A017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Additional information</w:t>
                  </w: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  <w:t>:</w:t>
                  </w:r>
                </w:p>
              </w:tc>
            </w:tr>
            <w:tr w:rsidR="00724D76" w:rsidRPr="00547198" w14:paraId="6ABA4BE8" w14:textId="77777777" w:rsidTr="65A091C2">
              <w:tc>
                <w:tcPr>
                  <w:tcW w:w="9923" w:type="dxa"/>
                </w:tcPr>
                <w:p w14:paraId="0D6B5C22" w14:textId="6CB058CF" w:rsidR="00724D76" w:rsidRPr="00547198" w:rsidRDefault="65A091C2" w:rsidP="00A72D15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jc w:val="left"/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The successful applicant should be able to teach across all areas of the department’s work. The teaching is likely to be mainly A </w:t>
                  </w:r>
                  <w:r w:rsidR="00447FD1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L</w:t>
                  </w: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evel. The job may also entail teaching on a Level 2 course, such as GCSE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, if required.  The successful applicant would be fully supported in tackling any areas that are less familiar to them. An Early Career Teacher</w:t>
                  </w:r>
                  <w:r w:rsidR="00447FD1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(ECT)</w:t>
                  </w: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would have a slightly reduced timetable and would participate in the College’s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programme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for ECTs as well as receiving support from members of the department, one of whom would be designated as their mentor. The department has a wealth of experience on which to draw and the post offers a first-class opportunity for teachers interested in </w:t>
                  </w:r>
                  <w:proofErr w:type="spellStart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>specialising</w:t>
                  </w:r>
                  <w:proofErr w:type="spellEnd"/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 in sixth form teaching - either as an ECT or a teacher with previous experience.</w:t>
                  </w:r>
                </w:p>
              </w:tc>
            </w:tr>
            <w:tr w:rsidR="00724D76" w:rsidRPr="00547198" w14:paraId="5A24C106" w14:textId="77777777" w:rsidTr="65A091C2">
              <w:tc>
                <w:tcPr>
                  <w:tcW w:w="9923" w:type="dxa"/>
                </w:tcPr>
                <w:p w14:paraId="07FEEF08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724D76" w:rsidRPr="00547198" w14:paraId="63B3A5AA" w14:textId="77777777" w:rsidTr="65A091C2">
              <w:tc>
                <w:tcPr>
                  <w:tcW w:w="9923" w:type="dxa"/>
                </w:tcPr>
                <w:p w14:paraId="4F0DE915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AU"/>
                    </w:rPr>
                    <w:t>College Hours:</w:t>
                  </w:r>
                </w:p>
              </w:tc>
            </w:tr>
            <w:tr w:rsidR="00724D76" w:rsidRPr="00547198" w14:paraId="303BE558" w14:textId="77777777" w:rsidTr="65A091C2">
              <w:tc>
                <w:tcPr>
                  <w:tcW w:w="9923" w:type="dxa"/>
                </w:tcPr>
                <w:p w14:paraId="7DE75F31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AU"/>
                    </w:rPr>
                    <w:t>College teaching periods start at 8.55 am and end at 4.15 pm.  Each teaching period is 65 minutes.</w:t>
                  </w:r>
                </w:p>
              </w:tc>
            </w:tr>
          </w:tbl>
          <w:p w14:paraId="04DA3544" w14:textId="77777777" w:rsidR="00724D76" w:rsidRPr="00547198" w:rsidRDefault="00724D76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ind w:left="-709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938"/>
            </w:tblGrid>
            <w:tr w:rsidR="00724D76" w:rsidRPr="00547198" w14:paraId="24EFEAA4" w14:textId="77777777" w:rsidTr="65A091C2">
              <w:tc>
                <w:tcPr>
                  <w:tcW w:w="1985" w:type="dxa"/>
                </w:tcPr>
                <w:p w14:paraId="423A3271" w14:textId="77777777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jc w:val="left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65A091C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US"/>
                    </w:rPr>
                    <w:t>Salary:</w:t>
                  </w:r>
                </w:p>
              </w:tc>
              <w:tc>
                <w:tcPr>
                  <w:tcW w:w="7938" w:type="dxa"/>
                </w:tcPr>
                <w:p w14:paraId="4DADF07E" w14:textId="6BDADFB6" w:rsidR="00724D76" w:rsidRPr="00547198" w:rsidRDefault="65A091C2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jc w:val="left"/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  <w:r w:rsidRPr="65A091C2"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  <w:t xml:space="preserve">Salary range will be up to £45,403 per annum (pro rata), inclusive of fringe area allowance </w:t>
                  </w:r>
                </w:p>
              </w:tc>
            </w:tr>
            <w:tr w:rsidR="00724D76" w:rsidRPr="00547198" w14:paraId="62766B07" w14:textId="77777777" w:rsidTr="65A091C2">
              <w:tc>
                <w:tcPr>
                  <w:tcW w:w="1985" w:type="dxa"/>
                </w:tcPr>
                <w:p w14:paraId="23095964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jc w:val="left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938" w:type="dxa"/>
                </w:tcPr>
                <w:p w14:paraId="38B71391" w14:textId="77777777" w:rsidR="00724D76" w:rsidRPr="00547198" w:rsidRDefault="00724D76" w:rsidP="65A091C2">
                  <w:pPr>
                    <w:tabs>
                      <w:tab w:val="left" w:pos="426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</w:tabs>
                    <w:jc w:val="left"/>
                    <w:rPr>
                      <w:rFonts w:asciiTheme="minorHAnsi" w:hAnsiTheme="minorHAnsi" w:cstheme="minorBid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73F4E513" w14:textId="77777777" w:rsidR="00724D76" w:rsidRPr="00547198" w:rsidRDefault="00724D76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24D76" w:rsidRPr="00547198" w14:paraId="68EE4785" w14:textId="77777777" w:rsidTr="65A091C2">
        <w:trPr>
          <w:gridBefore w:val="1"/>
          <w:wBefore w:w="459" w:type="dxa"/>
        </w:trPr>
        <w:tc>
          <w:tcPr>
            <w:tcW w:w="2028" w:type="dxa"/>
          </w:tcPr>
          <w:p w14:paraId="7B33D8A4" w14:textId="77777777" w:rsidR="00724D76" w:rsidRPr="00547198" w:rsidRDefault="65A091C2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65A091C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Closing Date:    </w:t>
            </w:r>
          </w:p>
          <w:p w14:paraId="0F0B0C29" w14:textId="77777777" w:rsidR="00724D76" w:rsidRPr="00547198" w:rsidRDefault="65A091C2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65A091C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Interviews:                   </w:t>
            </w:r>
          </w:p>
        </w:tc>
        <w:tc>
          <w:tcPr>
            <w:tcW w:w="8111" w:type="dxa"/>
            <w:gridSpan w:val="2"/>
          </w:tcPr>
          <w:p w14:paraId="35DE28AF" w14:textId="338D3F81" w:rsidR="00724D76" w:rsidRPr="00547198" w:rsidRDefault="65A091C2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65A091C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12 no</w:t>
            </w:r>
            <w:r w:rsidR="00C16A8E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on, Wednesday 10</w:t>
            </w:r>
            <w:r w:rsidR="00C16A8E" w:rsidRPr="00C16A8E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C16A8E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May 2023</w:t>
            </w:r>
          </w:p>
          <w:p w14:paraId="26CB865C" w14:textId="124ADC1F" w:rsidR="00724D76" w:rsidRPr="00547198" w:rsidRDefault="65A091C2" w:rsidP="65A091C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en-US"/>
              </w:rPr>
            </w:pPr>
            <w:r w:rsidRPr="65A091C2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en-US"/>
              </w:rPr>
              <w:t xml:space="preserve">To be held w/c </w:t>
            </w:r>
            <w:r w:rsidR="00C16A8E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en-US"/>
              </w:rPr>
              <w:t>15</w:t>
            </w:r>
            <w:r w:rsidR="00C16A8E" w:rsidRPr="00C16A8E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="00C16A8E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en-US"/>
              </w:rPr>
              <w:t xml:space="preserve"> May 2023</w:t>
            </w:r>
          </w:p>
        </w:tc>
      </w:tr>
    </w:tbl>
    <w:p w14:paraId="183A99D4" w14:textId="77777777" w:rsidR="00724D76" w:rsidRDefault="00724D76" w:rsidP="00305ACB">
      <w:pPr>
        <w:ind w:left="-567"/>
        <w:jc w:val="left"/>
        <w:rPr>
          <w:noProof/>
          <w:szCs w:val="22"/>
          <w:lang w:eastAsia="en-GB"/>
        </w:rPr>
      </w:pPr>
    </w:p>
    <w:p w14:paraId="1B2C0BB2" w14:textId="77777777" w:rsidR="00724D76" w:rsidRPr="00305ACB" w:rsidRDefault="00724D76" w:rsidP="00305ACB">
      <w:pPr>
        <w:ind w:left="-567"/>
        <w:jc w:val="left"/>
        <w:rPr>
          <w:noProof/>
          <w:szCs w:val="22"/>
          <w:lang w:eastAsia="en-GB"/>
        </w:rPr>
      </w:pPr>
    </w:p>
    <w:p w14:paraId="03C96F8E" w14:textId="77777777" w:rsidR="00C30119" w:rsidRPr="006A7A76" w:rsidRDefault="00AC7B89" w:rsidP="001867D7">
      <w:pPr>
        <w:tabs>
          <w:tab w:val="left" w:pos="1860"/>
        </w:tabs>
        <w:rPr>
          <w:rFonts w:ascii="Calibri Light" w:hAnsi="Calibri Light" w:cs="Arial"/>
          <w:color w:val="00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F1AB4E6" wp14:editId="7E9AC43A">
            <wp:extent cx="5940425" cy="15034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strip on its ow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3D6D" w14:textId="77777777" w:rsidR="00C30119" w:rsidRPr="006A7A76" w:rsidRDefault="00C30119" w:rsidP="00961197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sectPr w:rsidR="00C30119" w:rsidRPr="006A7A76" w:rsidSect="0010499B">
      <w:pgSz w:w="11906" w:h="16838" w:code="9"/>
      <w:pgMar w:top="567" w:right="992" w:bottom="539" w:left="1559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myTf28jNY5Dh" int2:id="CUyKPAWU">
      <int2:state int2:value="Rejected" int2:type="LegacyProofing"/>
    </int2:textHash>
    <int2:textHash int2:hashCode="3JkdcZs7tudVNF" int2:id="Vt1rSd6A">
      <int2:state int2:value="Rejected" int2:type="LegacyProofing"/>
    </int2:textHash>
    <int2:bookmark int2:bookmarkName="_Int_DOPwXjKA" int2:invalidationBookmarkName="" int2:hashCode="FnJXZz+AGOY8R2" int2:id="auWisit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3650">
    <w:abstractNumId w:val="11"/>
  </w:num>
  <w:num w:numId="2" w16cid:durableId="1162434412">
    <w:abstractNumId w:val="15"/>
  </w:num>
  <w:num w:numId="3" w16cid:durableId="106316843">
    <w:abstractNumId w:val="0"/>
  </w:num>
  <w:num w:numId="4" w16cid:durableId="1450515117">
    <w:abstractNumId w:val="10"/>
  </w:num>
  <w:num w:numId="5" w16cid:durableId="2070181722">
    <w:abstractNumId w:val="12"/>
  </w:num>
  <w:num w:numId="6" w16cid:durableId="425267671">
    <w:abstractNumId w:val="17"/>
  </w:num>
  <w:num w:numId="7" w16cid:durableId="370957447">
    <w:abstractNumId w:val="7"/>
  </w:num>
  <w:num w:numId="8" w16cid:durableId="258953247">
    <w:abstractNumId w:val="14"/>
  </w:num>
  <w:num w:numId="9" w16cid:durableId="360059774">
    <w:abstractNumId w:val="16"/>
  </w:num>
  <w:num w:numId="10" w16cid:durableId="385757551">
    <w:abstractNumId w:val="9"/>
  </w:num>
  <w:num w:numId="11" w16cid:durableId="1907185066">
    <w:abstractNumId w:val="3"/>
  </w:num>
  <w:num w:numId="12" w16cid:durableId="1428506159">
    <w:abstractNumId w:val="4"/>
  </w:num>
  <w:num w:numId="13" w16cid:durableId="1360665096">
    <w:abstractNumId w:val="6"/>
  </w:num>
  <w:num w:numId="14" w16cid:durableId="1355224745">
    <w:abstractNumId w:val="8"/>
  </w:num>
  <w:num w:numId="15" w16cid:durableId="48192848">
    <w:abstractNumId w:val="13"/>
  </w:num>
  <w:num w:numId="16" w16cid:durableId="989208315">
    <w:abstractNumId w:val="2"/>
  </w:num>
  <w:num w:numId="17" w16cid:durableId="585923308">
    <w:abstractNumId w:val="1"/>
  </w:num>
  <w:num w:numId="18" w16cid:durableId="6379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11E3B"/>
    <w:rsid w:val="00022D24"/>
    <w:rsid w:val="00023518"/>
    <w:rsid w:val="00031784"/>
    <w:rsid w:val="00051A43"/>
    <w:rsid w:val="00066108"/>
    <w:rsid w:val="0007799E"/>
    <w:rsid w:val="00094A63"/>
    <w:rsid w:val="000A7E6F"/>
    <w:rsid w:val="000B6A41"/>
    <w:rsid w:val="000D6577"/>
    <w:rsid w:val="000E001F"/>
    <w:rsid w:val="000F677F"/>
    <w:rsid w:val="00100638"/>
    <w:rsid w:val="0010499B"/>
    <w:rsid w:val="0013620D"/>
    <w:rsid w:val="0014593A"/>
    <w:rsid w:val="00152749"/>
    <w:rsid w:val="00155B79"/>
    <w:rsid w:val="00162A2D"/>
    <w:rsid w:val="00176879"/>
    <w:rsid w:val="001867D7"/>
    <w:rsid w:val="001874C4"/>
    <w:rsid w:val="001B219C"/>
    <w:rsid w:val="001B3C19"/>
    <w:rsid w:val="001B47DF"/>
    <w:rsid w:val="001C029F"/>
    <w:rsid w:val="001C1794"/>
    <w:rsid w:val="001E2BF8"/>
    <w:rsid w:val="001E6165"/>
    <w:rsid w:val="001F0AC1"/>
    <w:rsid w:val="00212C42"/>
    <w:rsid w:val="00215169"/>
    <w:rsid w:val="0024651C"/>
    <w:rsid w:val="00262FEC"/>
    <w:rsid w:val="0026639D"/>
    <w:rsid w:val="00275F91"/>
    <w:rsid w:val="00290472"/>
    <w:rsid w:val="00292850"/>
    <w:rsid w:val="002A4D19"/>
    <w:rsid w:val="002B3B69"/>
    <w:rsid w:val="002D393A"/>
    <w:rsid w:val="002E0FC4"/>
    <w:rsid w:val="002E1477"/>
    <w:rsid w:val="002E4314"/>
    <w:rsid w:val="002F6996"/>
    <w:rsid w:val="003010C0"/>
    <w:rsid w:val="00305ACB"/>
    <w:rsid w:val="00313307"/>
    <w:rsid w:val="00342A1E"/>
    <w:rsid w:val="00347775"/>
    <w:rsid w:val="00351E1F"/>
    <w:rsid w:val="0037047F"/>
    <w:rsid w:val="0037150E"/>
    <w:rsid w:val="003745D9"/>
    <w:rsid w:val="003768F5"/>
    <w:rsid w:val="003A72BF"/>
    <w:rsid w:val="003D74C3"/>
    <w:rsid w:val="003E17DB"/>
    <w:rsid w:val="003F55AE"/>
    <w:rsid w:val="004044A4"/>
    <w:rsid w:val="00410962"/>
    <w:rsid w:val="00421D78"/>
    <w:rsid w:val="004229EC"/>
    <w:rsid w:val="00425695"/>
    <w:rsid w:val="00430212"/>
    <w:rsid w:val="00436B91"/>
    <w:rsid w:val="00447FD1"/>
    <w:rsid w:val="00451663"/>
    <w:rsid w:val="00455CC5"/>
    <w:rsid w:val="004613B6"/>
    <w:rsid w:val="00465C39"/>
    <w:rsid w:val="004A504D"/>
    <w:rsid w:val="004B2FB8"/>
    <w:rsid w:val="004D4C61"/>
    <w:rsid w:val="004F353E"/>
    <w:rsid w:val="00527675"/>
    <w:rsid w:val="00534F9E"/>
    <w:rsid w:val="0055276F"/>
    <w:rsid w:val="005557C0"/>
    <w:rsid w:val="005563CB"/>
    <w:rsid w:val="005616B3"/>
    <w:rsid w:val="0059776A"/>
    <w:rsid w:val="005C0FE5"/>
    <w:rsid w:val="005C7F9A"/>
    <w:rsid w:val="005E0E8D"/>
    <w:rsid w:val="005E2F2F"/>
    <w:rsid w:val="005E3A70"/>
    <w:rsid w:val="005E7BD0"/>
    <w:rsid w:val="00610D08"/>
    <w:rsid w:val="00614269"/>
    <w:rsid w:val="00644FA5"/>
    <w:rsid w:val="006478B3"/>
    <w:rsid w:val="00652986"/>
    <w:rsid w:val="00653B19"/>
    <w:rsid w:val="00661D28"/>
    <w:rsid w:val="00664756"/>
    <w:rsid w:val="00671E27"/>
    <w:rsid w:val="0068799C"/>
    <w:rsid w:val="006A7A76"/>
    <w:rsid w:val="006B1034"/>
    <w:rsid w:val="006B7209"/>
    <w:rsid w:val="006D460C"/>
    <w:rsid w:val="006D626C"/>
    <w:rsid w:val="006D679C"/>
    <w:rsid w:val="006D6CD5"/>
    <w:rsid w:val="006E3702"/>
    <w:rsid w:val="006E5DA2"/>
    <w:rsid w:val="006F65C7"/>
    <w:rsid w:val="0072190A"/>
    <w:rsid w:val="00724D76"/>
    <w:rsid w:val="0073170F"/>
    <w:rsid w:val="00736BC9"/>
    <w:rsid w:val="00760C45"/>
    <w:rsid w:val="007702E0"/>
    <w:rsid w:val="00773D5A"/>
    <w:rsid w:val="0079048F"/>
    <w:rsid w:val="007C7AD6"/>
    <w:rsid w:val="007D2035"/>
    <w:rsid w:val="007D48B8"/>
    <w:rsid w:val="007E079A"/>
    <w:rsid w:val="007E4786"/>
    <w:rsid w:val="007E54C0"/>
    <w:rsid w:val="007E6AC3"/>
    <w:rsid w:val="007F237A"/>
    <w:rsid w:val="00801B00"/>
    <w:rsid w:val="0081577D"/>
    <w:rsid w:val="008260D3"/>
    <w:rsid w:val="00840923"/>
    <w:rsid w:val="00841C2B"/>
    <w:rsid w:val="008457CA"/>
    <w:rsid w:val="00851311"/>
    <w:rsid w:val="00860051"/>
    <w:rsid w:val="008665CA"/>
    <w:rsid w:val="00874E2A"/>
    <w:rsid w:val="0087570D"/>
    <w:rsid w:val="00881704"/>
    <w:rsid w:val="00884A5E"/>
    <w:rsid w:val="00886EBD"/>
    <w:rsid w:val="00894738"/>
    <w:rsid w:val="008B6148"/>
    <w:rsid w:val="008C7D41"/>
    <w:rsid w:val="008D61F8"/>
    <w:rsid w:val="008E58D4"/>
    <w:rsid w:val="008F5805"/>
    <w:rsid w:val="00915F30"/>
    <w:rsid w:val="00931297"/>
    <w:rsid w:val="00961197"/>
    <w:rsid w:val="00964F40"/>
    <w:rsid w:val="00967D84"/>
    <w:rsid w:val="0098189A"/>
    <w:rsid w:val="009A6CA0"/>
    <w:rsid w:val="009B7E54"/>
    <w:rsid w:val="009D26C3"/>
    <w:rsid w:val="00A07D2D"/>
    <w:rsid w:val="00A11330"/>
    <w:rsid w:val="00A21991"/>
    <w:rsid w:val="00A34F15"/>
    <w:rsid w:val="00A37B32"/>
    <w:rsid w:val="00A71C08"/>
    <w:rsid w:val="00A72D15"/>
    <w:rsid w:val="00A80196"/>
    <w:rsid w:val="00A8626E"/>
    <w:rsid w:val="00A87E41"/>
    <w:rsid w:val="00A9643D"/>
    <w:rsid w:val="00AA3A01"/>
    <w:rsid w:val="00AB4CAF"/>
    <w:rsid w:val="00AB6716"/>
    <w:rsid w:val="00AC0AF2"/>
    <w:rsid w:val="00AC7B89"/>
    <w:rsid w:val="00AD2A2E"/>
    <w:rsid w:val="00AE23CD"/>
    <w:rsid w:val="00AE3A3A"/>
    <w:rsid w:val="00AF1241"/>
    <w:rsid w:val="00AF53DA"/>
    <w:rsid w:val="00AF737D"/>
    <w:rsid w:val="00B01428"/>
    <w:rsid w:val="00B05470"/>
    <w:rsid w:val="00B06AAB"/>
    <w:rsid w:val="00B151EB"/>
    <w:rsid w:val="00B616DA"/>
    <w:rsid w:val="00B93D18"/>
    <w:rsid w:val="00B96A0E"/>
    <w:rsid w:val="00BB0246"/>
    <w:rsid w:val="00BD116A"/>
    <w:rsid w:val="00BD6508"/>
    <w:rsid w:val="00C16A8E"/>
    <w:rsid w:val="00C24870"/>
    <w:rsid w:val="00C30119"/>
    <w:rsid w:val="00C30317"/>
    <w:rsid w:val="00C3336A"/>
    <w:rsid w:val="00C355ED"/>
    <w:rsid w:val="00C440B9"/>
    <w:rsid w:val="00C50BB9"/>
    <w:rsid w:val="00C578FE"/>
    <w:rsid w:val="00C959B4"/>
    <w:rsid w:val="00CA00D6"/>
    <w:rsid w:val="00CA44F3"/>
    <w:rsid w:val="00CB3158"/>
    <w:rsid w:val="00CB4D35"/>
    <w:rsid w:val="00CC5A3C"/>
    <w:rsid w:val="00CC5CDA"/>
    <w:rsid w:val="00CD5CF4"/>
    <w:rsid w:val="00D3132E"/>
    <w:rsid w:val="00D45CF7"/>
    <w:rsid w:val="00D62EC6"/>
    <w:rsid w:val="00D6615E"/>
    <w:rsid w:val="00D74B10"/>
    <w:rsid w:val="00D76E78"/>
    <w:rsid w:val="00D851A6"/>
    <w:rsid w:val="00DA6459"/>
    <w:rsid w:val="00DD0688"/>
    <w:rsid w:val="00DD5D3F"/>
    <w:rsid w:val="00DE6FBC"/>
    <w:rsid w:val="00DF2B11"/>
    <w:rsid w:val="00DF6A32"/>
    <w:rsid w:val="00DF749B"/>
    <w:rsid w:val="00E0277E"/>
    <w:rsid w:val="00E25255"/>
    <w:rsid w:val="00E261D0"/>
    <w:rsid w:val="00E43FC7"/>
    <w:rsid w:val="00E53750"/>
    <w:rsid w:val="00E70CF6"/>
    <w:rsid w:val="00E8317D"/>
    <w:rsid w:val="00E913F0"/>
    <w:rsid w:val="00E95CC7"/>
    <w:rsid w:val="00EA5489"/>
    <w:rsid w:val="00EB0C9F"/>
    <w:rsid w:val="00EB463D"/>
    <w:rsid w:val="00EB7120"/>
    <w:rsid w:val="00EE157B"/>
    <w:rsid w:val="00EE6DB4"/>
    <w:rsid w:val="00EF7231"/>
    <w:rsid w:val="00F06B39"/>
    <w:rsid w:val="00F246EF"/>
    <w:rsid w:val="00F25CD4"/>
    <w:rsid w:val="00F530F5"/>
    <w:rsid w:val="00F64DA5"/>
    <w:rsid w:val="00F85AB8"/>
    <w:rsid w:val="00F9017B"/>
    <w:rsid w:val="00F93296"/>
    <w:rsid w:val="00FA5EE7"/>
    <w:rsid w:val="00FC6E26"/>
    <w:rsid w:val="00FD4F7C"/>
    <w:rsid w:val="00FD56ED"/>
    <w:rsid w:val="00FE5FF6"/>
    <w:rsid w:val="00FF53D6"/>
    <w:rsid w:val="33677EF3"/>
    <w:rsid w:val="56698A39"/>
    <w:rsid w:val="65A091C2"/>
    <w:rsid w:val="7FD8D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97087"/>
  <w15:docId w15:val="{50BA3A97-B5F0-4B04-AE82-1CA5A06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948D8-4DCD-4A0C-B0BC-610E5374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1E737-F785-4EB3-AA31-700097E62713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3A090FA7-1B9A-482D-A226-D6A662C78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E3FFB-2302-4257-A4F9-EA445684A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2</cp:revision>
  <cp:lastPrinted>2023-03-28T07:04:00Z</cp:lastPrinted>
  <dcterms:created xsi:type="dcterms:W3CDTF">2023-04-26T11:49:00Z</dcterms:created>
  <dcterms:modified xsi:type="dcterms:W3CDTF">2023-04-26T11:49:00Z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